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304985</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mobility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5.14.4.2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around mobility aspects were achieved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8" w:hRule="atLeast"/>
        </w:trPr>
        <w:tc>
          <w:tcPr>
            <w:tcW w:w="9514" w:type="dxa"/>
          </w:tcPr>
          <w:p>
            <w:pPr>
              <w:rPr>
                <w:rFonts w:hint="eastAsia" w:eastAsia="宋体"/>
                <w:b/>
                <w:sz w:val="20"/>
                <w:szCs w:val="20"/>
                <w:u w:val="single"/>
                <w:lang w:val="en-US" w:eastAsia="zh-CN"/>
              </w:rPr>
            </w:pPr>
            <w:r>
              <w:rPr>
                <w:rFonts w:cs="Arial"/>
                <w:b w:val="0"/>
                <w:bCs w:val="0"/>
                <w:kern w:val="0"/>
                <w:sz w:val="24"/>
                <w:szCs w:val="24"/>
                <w:lang w:val="en-GB"/>
              </w:rPr>
              <w:t xml:space="preserve">Mobility in </w:t>
            </w:r>
            <w:r>
              <w:rPr>
                <w:rFonts w:hint="eastAsia" w:cs="Arial"/>
                <w:b w:val="0"/>
                <w:bCs w:val="0"/>
                <w:kern w:val="0"/>
                <w:sz w:val="24"/>
                <w:szCs w:val="24"/>
                <w:lang w:val="en-GB"/>
              </w:rPr>
              <w:t>R</w:t>
            </w:r>
            <w:r>
              <w:rPr>
                <w:rFonts w:cs="Arial"/>
                <w:b w:val="0"/>
                <w:bCs w:val="0"/>
                <w:kern w:val="0"/>
                <w:sz w:val="24"/>
                <w:szCs w:val="24"/>
                <w:lang w:val="en-GB"/>
              </w:rPr>
              <w:t>RC_IDLE/INACTIVE</w:t>
            </w:r>
            <w:r>
              <w:rPr>
                <w:rFonts w:hint="eastAsia" w:eastAsia="宋体" w:cs="Arial"/>
                <w:b w:val="0"/>
                <w:bCs w:val="0"/>
                <w:kern w:val="0"/>
                <w:sz w:val="24"/>
                <w:szCs w:val="24"/>
                <w:lang w:val="en-US" w:eastAsia="zh-CN"/>
              </w:rPr>
              <w:t>:</w:t>
            </w:r>
          </w:p>
          <w:p>
            <w:pPr>
              <w:rPr>
                <w:b/>
                <w:sz w:val="20"/>
                <w:szCs w:val="20"/>
                <w:u w:val="single"/>
                <w:lang w:eastAsia="ko-KR"/>
              </w:rPr>
            </w:pPr>
            <w:r>
              <w:rPr>
                <w:b/>
                <w:sz w:val="20"/>
                <w:szCs w:val="20"/>
                <w:u w:val="single"/>
                <w:lang w:eastAsia="ko-KR"/>
              </w:rPr>
              <w:t>Issue 2-1-1-3: Cell re-selection measurement requirements</w:t>
            </w:r>
          </w:p>
          <w:p>
            <w:pPr>
              <w:spacing w:after="60"/>
              <w:rPr>
                <w:rFonts w:eastAsiaTheme="minorEastAsia"/>
                <w:iCs/>
                <w:sz w:val="20"/>
                <w:szCs w:val="20"/>
              </w:rPr>
            </w:pPr>
            <w:r>
              <w:rPr>
                <w:rFonts w:eastAsiaTheme="minorEastAsia"/>
                <w:iCs/>
                <w:sz w:val="20"/>
                <w:szCs w:val="20"/>
                <w:highlight w:val="green"/>
              </w:rPr>
              <w:t>Agreement</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 xml:space="preserve">Define two set of requirements for ATG </w:t>
            </w:r>
          </w:p>
          <w:p>
            <w:pPr>
              <w:pStyle w:val="28"/>
              <w:numPr>
                <w:ilvl w:val="1"/>
                <w:numId w:val="4"/>
              </w:numPr>
              <w:spacing w:after="120"/>
              <w:ind w:firstLineChars="0"/>
              <w:rPr>
                <w:rFonts w:eastAsia="宋体" w:cs="Times New Roman"/>
                <w:sz w:val="20"/>
                <w:szCs w:val="20"/>
              </w:rPr>
            </w:pPr>
            <w:r>
              <w:rPr>
                <w:rFonts w:eastAsia="宋体" w:cs="Times New Roman"/>
                <w:sz w:val="20"/>
                <w:szCs w:val="20"/>
              </w:rPr>
              <w:t xml:space="preserve">Set 1: legacy R15 cell-reselection requirement </w:t>
            </w:r>
          </w:p>
          <w:p>
            <w:pPr>
              <w:pStyle w:val="28"/>
              <w:numPr>
                <w:ilvl w:val="1"/>
                <w:numId w:val="4"/>
              </w:numPr>
              <w:spacing w:after="120"/>
              <w:ind w:firstLineChars="0"/>
              <w:rPr>
                <w:rFonts w:eastAsia="宋体" w:cs="Times New Roman"/>
                <w:sz w:val="20"/>
                <w:szCs w:val="20"/>
              </w:rPr>
            </w:pPr>
            <w:r>
              <w:rPr>
                <w:rFonts w:eastAsia="宋体" w:cs="Times New Roman"/>
                <w:sz w:val="20"/>
                <w:szCs w:val="20"/>
              </w:rPr>
              <w:t>Set 2: R16 HST cell-reselection requirement</w:t>
            </w:r>
          </w:p>
          <w:p>
            <w:pPr>
              <w:pStyle w:val="28"/>
              <w:numPr>
                <w:ilvl w:val="1"/>
                <w:numId w:val="4"/>
              </w:numPr>
              <w:ind w:firstLineChars="0"/>
              <w:rPr>
                <w:rFonts w:eastAsia="宋体" w:cs="Times New Roman"/>
                <w:sz w:val="20"/>
                <w:szCs w:val="20"/>
              </w:rPr>
            </w:pPr>
            <w:r>
              <w:rPr>
                <w:rFonts w:eastAsia="宋体" w:cs="Times New Roman"/>
                <w:sz w:val="20"/>
                <w:szCs w:val="20"/>
              </w:rPr>
              <w:t>Details of signalling, associated UE capabilities and how to switch between the two sets of requirements are FFS</w:t>
            </w:r>
          </w:p>
          <w:p>
            <w:pPr>
              <w:rPr>
                <w:b/>
                <w:sz w:val="20"/>
                <w:szCs w:val="20"/>
                <w:u w:val="single"/>
                <w:lang w:eastAsia="ko-KR"/>
              </w:rPr>
            </w:pPr>
            <w:r>
              <w:rPr>
                <w:b/>
                <w:sz w:val="20"/>
                <w:szCs w:val="20"/>
                <w:u w:val="single"/>
                <w:lang w:eastAsia="ko-KR"/>
              </w:rPr>
              <w:t xml:space="preserve">Issue 2-1-2: SDT </w:t>
            </w:r>
          </w:p>
          <w:p>
            <w:pPr>
              <w:spacing w:after="60"/>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greements</w:t>
            </w:r>
            <w:r>
              <w:rPr>
                <w:rFonts w:eastAsiaTheme="minorEastAsia"/>
                <w:iCs/>
                <w:sz w:val="20"/>
                <w:szCs w:val="20"/>
              </w:rPr>
              <w:t>:</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RAN4 is not going to define ATG specific requirements in R18.</w:t>
            </w:r>
          </w:p>
          <w:p>
            <w:pPr>
              <w:pStyle w:val="2"/>
              <w:numPr>
                <w:ilvl w:val="0"/>
                <w:numId w:val="0"/>
              </w:numPr>
              <w:spacing w:before="180" w:after="180" w:line="240" w:lineRule="auto"/>
              <w:ind w:leftChars="0"/>
              <w:rPr>
                <w:rFonts w:hint="eastAsia" w:eastAsia="宋体" w:cs="Arial"/>
                <w:b w:val="0"/>
                <w:bCs w:val="0"/>
                <w:kern w:val="0"/>
                <w:sz w:val="24"/>
                <w:szCs w:val="24"/>
                <w:lang w:val="en-US" w:eastAsia="zh-CN"/>
              </w:rPr>
            </w:pPr>
            <w:r>
              <w:rPr>
                <w:rFonts w:cs="Arial"/>
                <w:b w:val="0"/>
                <w:bCs w:val="0"/>
                <w:kern w:val="0"/>
                <w:sz w:val="24"/>
                <w:szCs w:val="24"/>
                <w:lang w:val="en-GB"/>
              </w:rPr>
              <w:t xml:space="preserve">Mobility in </w:t>
            </w:r>
            <w:r>
              <w:rPr>
                <w:rFonts w:hint="eastAsia" w:cs="Arial"/>
                <w:b w:val="0"/>
                <w:bCs w:val="0"/>
                <w:kern w:val="0"/>
                <w:sz w:val="24"/>
                <w:szCs w:val="24"/>
                <w:lang w:val="en-GB"/>
              </w:rPr>
              <w:t>R</w:t>
            </w:r>
            <w:r>
              <w:rPr>
                <w:rFonts w:cs="Arial"/>
                <w:b w:val="0"/>
                <w:bCs w:val="0"/>
                <w:kern w:val="0"/>
                <w:sz w:val="24"/>
                <w:szCs w:val="24"/>
                <w:lang w:val="en-GB"/>
              </w:rPr>
              <w:t>RC_CONNECTED</w:t>
            </w:r>
            <w:r>
              <w:rPr>
                <w:rFonts w:hint="eastAsia" w:eastAsia="宋体" w:cs="Arial"/>
                <w:b w:val="0"/>
                <w:bCs w:val="0"/>
                <w:kern w:val="0"/>
                <w:sz w:val="24"/>
                <w:szCs w:val="24"/>
                <w:lang w:val="en-US" w:eastAsia="zh-CN"/>
              </w:rPr>
              <w:t>:</w:t>
            </w:r>
          </w:p>
          <w:p>
            <w:pPr>
              <w:rPr>
                <w:b/>
                <w:sz w:val="20"/>
                <w:szCs w:val="20"/>
                <w:u w:val="single"/>
                <w:lang w:eastAsia="ko-KR"/>
              </w:rPr>
            </w:pPr>
            <w:r>
              <w:rPr>
                <w:b/>
                <w:sz w:val="20"/>
                <w:szCs w:val="20"/>
                <w:u w:val="single"/>
                <w:lang w:eastAsia="ko-KR"/>
              </w:rPr>
              <w:t>Issue 2-2-1: NR Handover requirement (For the unknown case)</w:t>
            </w:r>
          </w:p>
          <w:p>
            <w:pPr>
              <w:spacing w:after="60"/>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greements</w:t>
            </w:r>
            <w:r>
              <w:rPr>
                <w:rFonts w:eastAsiaTheme="minorEastAsia"/>
                <w:iCs/>
                <w:sz w:val="20"/>
                <w:szCs w:val="20"/>
              </w:rPr>
              <w:t>:</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Reusing legacy requirements</w:t>
            </w:r>
          </w:p>
          <w:p>
            <w:pPr>
              <w:rPr>
                <w:b/>
                <w:sz w:val="20"/>
                <w:szCs w:val="20"/>
                <w:u w:val="single"/>
                <w:lang w:eastAsia="ko-KR"/>
              </w:rPr>
            </w:pPr>
            <w:r>
              <w:rPr>
                <w:b/>
                <w:sz w:val="20"/>
                <w:szCs w:val="20"/>
                <w:u w:val="single"/>
                <w:lang w:eastAsia="ko-KR"/>
              </w:rPr>
              <w:t>Issue 2-2-2: Conditional Handover</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 xml:space="preserve">: </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Introduce legacy CHO for ATG</w:t>
            </w:r>
          </w:p>
          <w:p>
            <w:pPr>
              <w:pStyle w:val="28"/>
              <w:numPr>
                <w:ilvl w:val="1"/>
                <w:numId w:val="4"/>
              </w:numPr>
              <w:spacing w:after="120"/>
              <w:ind w:firstLineChars="0"/>
              <w:rPr>
                <w:rFonts w:eastAsia="宋体" w:cs="Times New Roman"/>
                <w:sz w:val="20"/>
                <w:szCs w:val="20"/>
              </w:rPr>
            </w:pPr>
            <w:r>
              <w:rPr>
                <w:rFonts w:eastAsia="宋体" w:cs="Times New Roman"/>
                <w:sz w:val="20"/>
                <w:szCs w:val="20"/>
              </w:rPr>
              <w:t xml:space="preserve">The legacy R16 CHO delay requirements can be reused. </w:t>
            </w:r>
          </w:p>
          <w:p>
            <w:pPr>
              <w:pStyle w:val="28"/>
              <w:numPr>
                <w:ilvl w:val="1"/>
                <w:numId w:val="4"/>
              </w:numPr>
              <w:spacing w:after="120"/>
              <w:ind w:firstLineChars="0"/>
              <w:rPr>
                <w:rFonts w:eastAsia="宋体" w:cs="Times New Roman"/>
                <w:sz w:val="20"/>
                <w:szCs w:val="20"/>
              </w:rPr>
            </w:pPr>
            <w:r>
              <w:rPr>
                <w:rFonts w:hint="eastAsia" w:eastAsia="宋体" w:cs="Times New Roman"/>
                <w:sz w:val="20"/>
                <w:szCs w:val="20"/>
              </w:rPr>
              <w:t>Optional feature for ATG</w:t>
            </w:r>
          </w:p>
          <w:p>
            <w:pPr>
              <w:pStyle w:val="28"/>
              <w:numPr>
                <w:ilvl w:val="0"/>
                <w:numId w:val="4"/>
              </w:numPr>
              <w:spacing w:after="120"/>
              <w:ind w:hanging="357" w:firstLineChars="0"/>
              <w:rPr>
                <w:rFonts w:eastAsia="宋体" w:cs="Times New Roman"/>
                <w:sz w:val="20"/>
                <w:szCs w:val="20"/>
              </w:rPr>
            </w:pPr>
            <w:r>
              <w:rPr>
                <w:rFonts w:hint="eastAsia" w:eastAsia="宋体" w:cs="Times New Roman"/>
                <w:sz w:val="20"/>
                <w:szCs w:val="20"/>
              </w:rPr>
              <w:t xml:space="preserve">FFS on </w:t>
            </w:r>
            <w:r>
              <w:rPr>
                <w:rFonts w:eastAsia="宋体" w:cs="Times New Roman"/>
                <w:sz w:val="20"/>
                <w:szCs w:val="20"/>
              </w:rPr>
              <w:t>location-based CHO for ATG</w:t>
            </w:r>
          </w:p>
          <w:p>
            <w:pPr>
              <w:pStyle w:val="28"/>
              <w:numPr>
                <w:ilvl w:val="1"/>
                <w:numId w:val="4"/>
              </w:numPr>
              <w:spacing w:after="120"/>
              <w:ind w:firstLineChars="0"/>
              <w:rPr>
                <w:rFonts w:eastAsia="宋体" w:cs="Times New Roman"/>
                <w:sz w:val="20"/>
                <w:szCs w:val="20"/>
              </w:rPr>
            </w:pPr>
            <w:r>
              <w:rPr>
                <w:rFonts w:eastAsia="宋体" w:cs="Times New Roman"/>
                <w:sz w:val="20"/>
                <w:szCs w:val="20"/>
              </w:rPr>
              <w:t xml:space="preserve">The </w:t>
            </w:r>
            <w:r>
              <w:rPr>
                <w:rFonts w:hint="eastAsia" w:eastAsia="宋体" w:cs="Times New Roman"/>
                <w:sz w:val="20"/>
                <w:szCs w:val="20"/>
              </w:rPr>
              <w:t>procedure</w:t>
            </w:r>
            <w:r>
              <w:rPr>
                <w:rFonts w:eastAsia="宋体" w:cs="Times New Roman"/>
                <w:sz w:val="20"/>
                <w:szCs w:val="20"/>
              </w:rPr>
              <w:t xml:space="preserve"> and signalling from R17 NTN (RSRP+ location- based CHO) could be reused, while the location-based CHO delay requirements should be revisited in ATG scenario.</w:t>
            </w:r>
          </w:p>
          <w:p>
            <w:pPr>
              <w:pStyle w:val="28"/>
              <w:numPr>
                <w:ilvl w:val="1"/>
                <w:numId w:val="4"/>
              </w:numPr>
              <w:spacing w:after="120"/>
              <w:ind w:firstLineChars="0"/>
              <w:rPr>
                <w:rFonts w:eastAsia="宋体" w:cs="Times New Roman"/>
                <w:sz w:val="20"/>
                <w:szCs w:val="20"/>
              </w:rPr>
            </w:pPr>
            <w:r>
              <w:rPr>
                <w:rFonts w:eastAsia="宋体" w:cs="Times New Roman"/>
                <w:sz w:val="20"/>
                <w:szCs w:val="20"/>
              </w:rPr>
              <w:t>Clarification</w:t>
            </w:r>
            <w:r>
              <w:rPr>
                <w:rFonts w:hint="eastAsia" w:eastAsia="宋体" w:cs="Times New Roman"/>
                <w:sz w:val="20"/>
                <w:szCs w:val="20"/>
              </w:rPr>
              <w:t xml:space="preserve"> on reference location is needed</w:t>
            </w:r>
          </w:p>
          <w:p>
            <w:pPr>
              <w:pStyle w:val="28"/>
              <w:numPr>
                <w:ilvl w:val="1"/>
                <w:numId w:val="4"/>
              </w:numPr>
              <w:spacing w:after="120"/>
              <w:ind w:firstLineChars="0"/>
              <w:rPr>
                <w:rFonts w:eastAsia="宋体" w:cs="Times New Roman"/>
                <w:sz w:val="20"/>
                <w:szCs w:val="20"/>
              </w:rPr>
            </w:pPr>
            <w:r>
              <w:rPr>
                <w:rFonts w:hint="eastAsia" w:eastAsia="宋体" w:cs="Times New Roman"/>
                <w:sz w:val="20"/>
                <w:szCs w:val="20"/>
              </w:rPr>
              <w:t>Optional feature for ATG</w:t>
            </w:r>
          </w:p>
          <w:p>
            <w:pPr>
              <w:rPr>
                <w:b/>
                <w:sz w:val="20"/>
                <w:szCs w:val="20"/>
                <w:u w:val="single"/>
                <w:lang w:eastAsia="ko-KR"/>
              </w:rPr>
            </w:pPr>
            <w:r>
              <w:rPr>
                <w:b/>
                <w:sz w:val="20"/>
                <w:szCs w:val="20"/>
                <w:u w:val="single"/>
                <w:lang w:eastAsia="ko-KR"/>
              </w:rPr>
              <w:t>Issue 2-2-3: SA: RRC Re-establishment</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Reuse the current definitions/requirements on T</w:t>
            </w:r>
            <w:r>
              <w:rPr>
                <w:rFonts w:eastAsia="宋体" w:cs="Times New Roman"/>
                <w:sz w:val="20"/>
                <w:szCs w:val="20"/>
                <w:vertAlign w:val="subscript"/>
              </w:rPr>
              <w:t>identify_intra_NR</w:t>
            </w:r>
            <w:r>
              <w:rPr>
                <w:rFonts w:eastAsia="宋体" w:cs="Times New Roman"/>
                <w:sz w:val="20"/>
                <w:szCs w:val="20"/>
              </w:rPr>
              <w:t xml:space="preserve"> and T</w:t>
            </w:r>
            <w:r>
              <w:rPr>
                <w:rFonts w:eastAsia="宋体" w:cs="Times New Roman"/>
                <w:sz w:val="20"/>
                <w:szCs w:val="20"/>
                <w:vertAlign w:val="subscript"/>
              </w:rPr>
              <w:t>identify_inter_NR</w:t>
            </w:r>
            <w:r>
              <w:rPr>
                <w:rFonts w:eastAsia="宋体" w:cs="Times New Roman"/>
                <w:sz w:val="20"/>
                <w:szCs w:val="20"/>
              </w:rPr>
              <w:t xml:space="preserve">. </w:t>
            </w:r>
          </w:p>
          <w:p>
            <w:pPr>
              <w:rPr>
                <w:b/>
                <w:sz w:val="20"/>
                <w:szCs w:val="20"/>
                <w:u w:val="single"/>
                <w:lang w:eastAsia="ko-KR"/>
              </w:rPr>
            </w:pPr>
            <w:r>
              <w:rPr>
                <w:b/>
                <w:sz w:val="20"/>
                <w:szCs w:val="20"/>
                <w:u w:val="single"/>
                <w:lang w:eastAsia="ko-KR"/>
              </w:rPr>
              <w:t>Issue 2-2-4: SA: RRC Connection Release with Redirection</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w:t>
            </w:r>
          </w:p>
          <w:p>
            <w:pPr>
              <w:pStyle w:val="28"/>
              <w:numPr>
                <w:ilvl w:val="0"/>
                <w:numId w:val="4"/>
              </w:numPr>
              <w:spacing w:after="120"/>
              <w:ind w:hanging="357" w:firstLineChars="0"/>
              <w:rPr>
                <w:rFonts w:hint="default" w:eastAsia="宋体" w:cs="Times New Roman"/>
                <w:sz w:val="20"/>
                <w:szCs w:val="20"/>
                <w:lang w:val="en-US" w:eastAsia="zh-CN"/>
              </w:rPr>
            </w:pPr>
            <w:r>
              <w:rPr>
                <w:rFonts w:eastAsia="宋体" w:cs="Times New Roman"/>
                <w:sz w:val="20"/>
                <w:szCs w:val="20"/>
                <w:lang w:val="en-GB"/>
              </w:rPr>
              <w:t>Reuse the current definitions/requirements on T</w:t>
            </w:r>
            <w:r>
              <w:rPr>
                <w:rFonts w:eastAsia="宋体" w:cs="Times New Roman"/>
                <w:sz w:val="20"/>
                <w:szCs w:val="20"/>
                <w:vertAlign w:val="subscript"/>
                <w:lang w:val="en-GB"/>
              </w:rPr>
              <w:t>identify-NR</w:t>
            </w:r>
            <w:r>
              <w:rPr>
                <w:rFonts w:eastAsia="宋体" w:cs="Times New Roman"/>
                <w:sz w:val="20"/>
                <w:szCs w:val="20"/>
                <w:lang w:val="en-GB"/>
              </w:rPr>
              <w:t>.</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Still multiple issues are suspending. In this document, we will provide some further analysis on mobility aspects of ATG based on the characteristics of ATG scenario.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characteristics of ATG system, the following key points should be noted:</w:t>
      </w:r>
    </w:p>
    <w:p>
      <w:pPr>
        <w:numPr>
          <w:ilvl w:val="0"/>
          <w:numId w:val="5"/>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5"/>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5"/>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5"/>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5"/>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5"/>
        </w:numPr>
        <w:ind w:left="420" w:leftChars="0" w:hanging="420" w:firstLineChars="0"/>
        <w:rPr>
          <w:rFonts w:hint="default"/>
          <w:lang w:val="en-US" w:eastAsia="zh-CN"/>
        </w:rPr>
      </w:pPr>
      <w:r>
        <w:rPr>
          <w:rFonts w:hint="eastAsia"/>
          <w:lang w:val="en-US" w:eastAsia="zh-CN"/>
        </w:rPr>
        <w:t>Height of CPE: 3km--10km</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We provide our analysis for multiple RRM aspects given all the above key points of ATG system.</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2.1 Mobility requirement for IDLE/INACTIVE</w:t>
      </w:r>
    </w:p>
    <w:p>
      <w:pPr>
        <w:pStyle w:val="4"/>
        <w:rPr>
          <w:rFonts w:hint="eastAsia" w:eastAsia="宋体" w:cs="Times New Roman"/>
          <w:b w:val="0"/>
          <w:bCs w:val="0"/>
          <w:iCs w:val="0"/>
          <w:color w:val="auto"/>
          <w:kern w:val="32"/>
          <w:sz w:val="20"/>
          <w:szCs w:val="20"/>
          <w:u w:val="single"/>
          <w:lang w:val="en-US" w:eastAsia="zh-CN" w:bidi="ar-SA"/>
        </w:rPr>
      </w:pPr>
      <w:r>
        <w:rPr>
          <w:rFonts w:hint="eastAsia" w:eastAsia="宋体" w:cs="Times New Roman"/>
          <w:b w:val="0"/>
          <w:bCs w:val="0"/>
          <w:iCs w:val="0"/>
          <w:color w:val="auto"/>
          <w:kern w:val="32"/>
          <w:sz w:val="20"/>
          <w:szCs w:val="20"/>
          <w:u w:val="single"/>
          <w:lang w:val="en-US" w:eastAsia="zh-CN" w:bidi="ar-SA"/>
        </w:rPr>
        <w:t>Mechanism of Cell re-selection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After the discussion in last meeting, the following options were kept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hanging="357" w:firstLineChars="0"/>
              <w:textAlignment w:val="auto"/>
              <w:rPr>
                <w:sz w:val="20"/>
                <w:szCs w:val="20"/>
              </w:rPr>
            </w:pPr>
            <w:r>
              <w:rPr>
                <w:sz w:val="20"/>
                <w:szCs w:val="20"/>
              </w:rPr>
              <w:t xml:space="preserve">Option 1: Introduce distance-based triggering as an </w:t>
            </w:r>
            <w:r>
              <w:rPr>
                <w:sz w:val="20"/>
                <w:szCs w:val="20"/>
                <w:highlight w:val="none"/>
              </w:rPr>
              <w:t xml:space="preserve">additional </w:t>
            </w:r>
            <w:r>
              <w:rPr>
                <w:sz w:val="20"/>
                <w:szCs w:val="20"/>
              </w:rPr>
              <w:t>condition for intra- and inter-frequency cell measurement as NTN, whether and how to configure the feature is up to network implementation</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40" w:lineRule="auto"/>
              <w:ind w:firstLineChars="0"/>
              <w:textAlignment w:val="auto"/>
              <w:rPr>
                <w:sz w:val="20"/>
                <w:szCs w:val="20"/>
              </w:rPr>
            </w:pPr>
            <w:r>
              <w:rPr>
                <w:sz w:val="20"/>
                <w:szCs w:val="20"/>
              </w:rPr>
              <w:t>If Srxlev &gt; S</w:t>
            </w:r>
            <w:r>
              <w:rPr>
                <w:sz w:val="20"/>
                <w:szCs w:val="20"/>
                <w:vertAlign w:val="subscript"/>
              </w:rPr>
              <w:t>(non)IntraSearchP</w:t>
            </w:r>
            <w:r>
              <w:rPr>
                <w:sz w:val="20"/>
                <w:szCs w:val="20"/>
              </w:rPr>
              <w:t xml:space="preserve"> and Squal &gt; S</w:t>
            </w:r>
            <w:r>
              <w:rPr>
                <w:sz w:val="20"/>
                <w:szCs w:val="20"/>
                <w:vertAlign w:val="subscript"/>
              </w:rPr>
              <w:t>(non)IntraSearchQ</w:t>
            </w:r>
            <w:r>
              <w:rPr>
                <w:sz w:val="20"/>
                <w:szCs w:val="20"/>
              </w:rPr>
              <w:t xml:space="preserve">, </w:t>
            </w:r>
            <w:r>
              <w:rPr>
                <w:sz w:val="20"/>
                <w:szCs w:val="20"/>
                <w:highlight w:val="none"/>
              </w:rPr>
              <w:t xml:space="preserve">and </w:t>
            </w:r>
            <w:r>
              <w:rPr>
                <w:sz w:val="20"/>
                <w:szCs w:val="20"/>
              </w:rPr>
              <w:t>the distance between UE and serving cell reference location is smaller than distanceThresh if distanceThresh is configured and UE has location information, then the UE shall search for inter/intra-frequency layers of higher priority.</w:t>
            </w:r>
            <w:r>
              <w:rPr>
                <w:rFonts w:hint="eastAsia"/>
                <w:sz w:val="20"/>
                <w:szCs w:val="20"/>
                <w:lang w:val="en-US" w:eastAsia="zh-CN"/>
              </w:rPr>
              <w:t xml:space="preserve"> </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40" w:lineRule="auto"/>
              <w:ind w:firstLineChars="0"/>
              <w:textAlignment w:val="auto"/>
              <w:rPr>
                <w:sz w:val="20"/>
                <w:szCs w:val="20"/>
              </w:rPr>
            </w:pPr>
            <w:r>
              <w:rPr>
                <w:sz w:val="20"/>
                <w:szCs w:val="20"/>
              </w:rPr>
              <w:t>If Srxlev ≤ S</w:t>
            </w:r>
            <w:r>
              <w:rPr>
                <w:sz w:val="20"/>
                <w:szCs w:val="20"/>
                <w:vertAlign w:val="subscript"/>
              </w:rPr>
              <w:t>(non)IntraSearchP</w:t>
            </w:r>
            <w:r>
              <w:rPr>
                <w:sz w:val="20"/>
                <w:szCs w:val="20"/>
              </w:rPr>
              <w:t xml:space="preserve"> or Squal ≤ S</w:t>
            </w:r>
            <w:r>
              <w:rPr>
                <w:sz w:val="20"/>
                <w:szCs w:val="20"/>
                <w:vertAlign w:val="subscript"/>
              </w:rPr>
              <w:t>(non)IntraSearchQ</w:t>
            </w:r>
            <w:r>
              <w:rPr>
                <w:sz w:val="20"/>
                <w:szCs w:val="20"/>
              </w:rPr>
              <w:t xml:space="preserve">, </w:t>
            </w:r>
            <w:r>
              <w:rPr>
                <w:sz w:val="20"/>
                <w:szCs w:val="20"/>
                <w:highlight w:val="none"/>
              </w:rPr>
              <w:t>or t</w:t>
            </w:r>
            <w:r>
              <w:rPr>
                <w:sz w:val="20"/>
                <w:szCs w:val="20"/>
              </w:rPr>
              <w:t>he distance between UE and serving cell reference location is larger than distanceThresh if distanceThresh is configured and UE has location information, then the UE shall search for and measure inter/intra-frequency layers of higher, equal or lower priority in preparation for possible reselection</w:t>
            </w:r>
          </w:p>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hanging="357" w:firstLineChars="0"/>
              <w:textAlignment w:val="auto"/>
              <w:rPr>
                <w:rFonts w:eastAsia="宋体" w:cs="Times New Roman"/>
                <w:sz w:val="20"/>
                <w:szCs w:val="20"/>
              </w:rPr>
            </w:pPr>
            <w:r>
              <w:rPr>
                <w:rFonts w:hint="eastAsia" w:eastAsia="宋体" w:cs="Times New Roman"/>
                <w:sz w:val="20"/>
                <w:szCs w:val="20"/>
              </w:rPr>
              <w:t>O</w:t>
            </w:r>
            <w:r>
              <w:rPr>
                <w:rFonts w:eastAsia="宋体" w:cs="Times New Roman"/>
                <w:sz w:val="20"/>
                <w:szCs w:val="20"/>
              </w:rPr>
              <w:t>ption 2: RSRP measurement can be ignored by ATG UE when the distance satisfies a specific condition.</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40" w:lineRule="auto"/>
              <w:ind w:firstLineChars="0"/>
              <w:textAlignment w:val="auto"/>
              <w:rPr>
                <w:rFonts w:eastAsia="宋体" w:cs="Times New Roman"/>
                <w:sz w:val="20"/>
                <w:szCs w:val="20"/>
              </w:rPr>
            </w:pPr>
            <w:r>
              <w:rPr>
                <w:rFonts w:eastAsia="宋体" w:cs="Times New Roman"/>
                <w:sz w:val="20"/>
                <w:szCs w:val="20"/>
              </w:rPr>
              <w:t>The UE is allowed to not perform neighbour cell measurements based on the distance between the aircraft and a reference location, details are of the reference location is FFS.</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40" w:lineRule="auto"/>
              <w:ind w:firstLineChars="0"/>
              <w:textAlignment w:val="auto"/>
              <w:rPr>
                <w:rFonts w:eastAsia="宋体" w:cs="Times New Roman"/>
                <w:sz w:val="20"/>
                <w:szCs w:val="20"/>
              </w:rPr>
            </w:pPr>
            <w:r>
              <w:rPr>
                <w:rFonts w:eastAsia="宋体" w:cs="Times New Roman"/>
                <w:sz w:val="20"/>
                <w:szCs w:val="20"/>
              </w:rPr>
              <w:t>For cell reselection, the A2G UE should resume the neighbor cell measurement in normal manner without any relaxation when the condition on distance between the aircraft and the reference location is no longer met.</w:t>
            </w:r>
          </w:p>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hanging="357" w:firstLineChars="0"/>
              <w:textAlignment w:val="auto"/>
              <w:rPr>
                <w:rFonts w:eastAsia="宋体" w:cs="Times New Roman"/>
                <w:sz w:val="20"/>
                <w:szCs w:val="20"/>
              </w:rPr>
            </w:pPr>
            <w:r>
              <w:rPr>
                <w:rFonts w:eastAsia="宋体" w:cs="Times New Roman"/>
                <w:sz w:val="20"/>
                <w:szCs w:val="20"/>
              </w:rPr>
              <w:t>Option 3: further consider the trade-off between the workload and performance gain brought by the new cell re-selection mechanisms.</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40" w:lineRule="auto"/>
              <w:ind w:left="1236" w:leftChars="0" w:hanging="360" w:firstLineChars="0"/>
              <w:textAlignment w:val="auto"/>
              <w:rPr>
                <w:rFonts w:hint="default" w:eastAsia="宋体"/>
                <w:color w:val="auto"/>
                <w:sz w:val="20"/>
                <w:szCs w:val="20"/>
                <w:highlight w:val="none"/>
                <w:vertAlign w:val="baseline"/>
                <w:lang w:val="en-US" w:eastAsia="zh-CN"/>
              </w:rPr>
            </w:pPr>
            <w:r>
              <w:rPr>
                <w:rFonts w:eastAsia="宋体" w:cs="Times New Roman"/>
                <w:sz w:val="20"/>
                <w:szCs w:val="20"/>
              </w:rPr>
              <w:t>The distance, altitude or speed based triggered cell re-selection may not be necessary unless there is an obvious motivation.</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It has been approved that reusing current UE capability for NR intra-frequency and inter-frequency measurement for ATG. While regarding to the cell re-selection mechanism, it is still FFS whether need additional enhancement.  </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Both Option 1 and 2 above try to introduce the distance based solution so as to reduce or weaken the intra-frequency and inter-frequency measurement due to large ISD in ATG. In our opinion, firstly the legacy cell re-selection rule should be a baseline or the mandatory support. Regarding to whether additional enhanced cell re-selection can be considered, either not support or optional support. The ATG CPE should be more powerful than normal hand-held UE and not constraint by the size. So the power consumption is not the factor which should be mainly considered. Based on such assumption, we are not sure whether the additional solution is needed or not.    The trade-off between the workload and performance gain brought by the new solution should be considered.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ATG CPE should be more powerful than normal hand-held UE and not constraint by the size. So the power consumption is not the factor which should be mainly considered.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trade-off between the workload and performance gain brought by the new cell re-selection rule should be considered.</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Even though the motivation of Option 1 and 2 are similar, however the exact solutions are different. Option 1 reuses the NTN cell re-selection with the consideration of distance. The details of Option 2 is still FFS, but under some condition, it resumes to normal manner. We are open to further discuss the details of distance based consideration. In any case, legacy cell re-selection rule should be the baseline or mandatory supported.</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Open to further discuss the distance based cell re-selection. The legacy cell re-selection rule should be as baseline or mandatory supported. Regarding to whether additional enhanced cell re-selection can be considered, either not support or optional support.</w:t>
      </w:r>
    </w:p>
    <w:p>
      <w:pPr>
        <w:pStyle w:val="4"/>
        <w:rPr>
          <w:rFonts w:hint="default" w:eastAsia="宋体" w:cs="Times New Roman"/>
          <w:b/>
          <w:bCs/>
          <w:color w:val="auto"/>
          <w:sz w:val="20"/>
          <w:szCs w:val="20"/>
          <w:highlight w:val="none"/>
          <w:lang w:val="en-US" w:eastAsia="zh-CN" w:bidi="ar-SA"/>
        </w:rPr>
      </w:pPr>
    </w:p>
    <w:p>
      <w:pPr>
        <w:pStyle w:val="4"/>
        <w:rPr>
          <w:rFonts w:hint="default"/>
          <w:b w:val="0"/>
          <w:bCs w:val="0"/>
          <w:sz w:val="20"/>
          <w:szCs w:val="20"/>
          <w:u w:val="single"/>
          <w:lang w:val="en-US" w:eastAsia="zh-CN"/>
        </w:rPr>
      </w:pPr>
      <w:r>
        <w:rPr>
          <w:rFonts w:hint="eastAsia" w:eastAsia="宋体" w:cs="Times New Roman"/>
          <w:b w:val="0"/>
          <w:bCs w:val="0"/>
          <w:iCs w:val="0"/>
          <w:color w:val="auto"/>
          <w:kern w:val="32"/>
          <w:sz w:val="20"/>
          <w:szCs w:val="20"/>
          <w:u w:val="single"/>
          <w:lang w:val="en-US" w:eastAsia="zh-CN" w:bidi="ar-SA"/>
        </w:rPr>
        <w:t>Requirements of Cell re-selection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to the measurement requirement, both legacy R15 cell-reselection requirement and R16 HST cell-reselection requirement are approved to be used in ATG in last meeting. The enhancement of R16 HST cell-reselection requirement compared with legacy R15, focus on the reduction of </w:t>
      </w:r>
      <w:r>
        <w:t>T</w:t>
      </w:r>
      <w:r>
        <w:rPr>
          <w:vertAlign w:val="subscript"/>
        </w:rPr>
        <w:t>detect,</w:t>
      </w:r>
      <w:r>
        <w:rPr>
          <w:rFonts w:hint="eastAsia" w:eastAsia="宋体"/>
          <w:color w:val="auto"/>
          <w:sz w:val="20"/>
          <w:szCs w:val="20"/>
          <w:highlight w:val="none"/>
          <w:lang w:val="en-US" w:eastAsia="zh-CN"/>
        </w:rPr>
        <w:t xml:space="preserve"> </w:t>
      </w:r>
      <w:r>
        <w:t>T</w:t>
      </w:r>
      <w:r>
        <w:rPr>
          <w:vertAlign w:val="subscript"/>
        </w:rPr>
        <w:t>measure</w:t>
      </w:r>
      <w:r>
        <w:rPr>
          <w:rFonts w:hint="eastAsia" w:eastAsia="宋体"/>
          <w:vertAlign w:val="subscript"/>
          <w:lang w:val="en-US" w:eastAsia="zh-CN"/>
        </w:rPr>
        <w:t xml:space="preserve"> </w:t>
      </w:r>
      <w:r>
        <w:rPr>
          <w:rFonts w:hint="eastAsia" w:eastAsia="宋体"/>
          <w:color w:val="auto"/>
          <w:sz w:val="20"/>
          <w:szCs w:val="20"/>
          <w:highlight w:val="none"/>
          <w:lang w:val="en-US" w:eastAsia="zh-CN"/>
        </w:rPr>
        <w:t xml:space="preserve">and </w:t>
      </w:r>
      <w:r>
        <w:t>T</w:t>
      </w:r>
      <w:r>
        <w:rPr>
          <w:vertAlign w:val="subscript"/>
        </w:rPr>
        <w:t>evaluate</w:t>
      </w:r>
      <w:r>
        <w:rPr>
          <w:rFonts w:hint="eastAsia" w:eastAsia="宋体"/>
          <w:color w:val="auto"/>
          <w:sz w:val="20"/>
          <w:szCs w:val="20"/>
          <w:lang w:val="en-US" w:eastAsia="zh-CN"/>
        </w:rPr>
        <w:t xml:space="preserve"> for intra-frequency measurement.</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So as to support two sets of requirements, the NW signalling, UE capability and how to realize switching between the two sets should be considered. In our view, reusing the same solution in HST is fine, i.e. one additional UE capability(similar as </w:t>
      </w:r>
      <w:r>
        <w:rPr>
          <w:rFonts w:hint="eastAsia" w:eastAsia="宋体"/>
          <w:i/>
          <w:iCs/>
          <w:color w:val="auto"/>
          <w:sz w:val="20"/>
          <w:szCs w:val="20"/>
          <w:lang w:val="en-US" w:eastAsia="zh-CN"/>
        </w:rPr>
        <w:t>intraNR-MeasurementEnhancement-r16</w:t>
      </w:r>
      <w:r>
        <w:rPr>
          <w:rFonts w:hint="eastAsia" w:eastAsia="宋体"/>
          <w:color w:val="auto"/>
          <w:sz w:val="20"/>
          <w:szCs w:val="20"/>
          <w:lang w:val="en-US" w:eastAsia="zh-CN"/>
        </w:rPr>
        <w:t xml:space="preserve">) is necessary, to indicate whether supporting the enhanced requirements(same as R16 HST FR1) or not. For the UE capable of such enhanced requirements, configure the Set 1(legacy R15 requirements) or Set 2(same as R16 HST FR1 requirements) requirements to UE through a new NW signalling(similar as </w:t>
      </w:r>
      <w:r>
        <w:rPr>
          <w:rFonts w:eastAsia="Malgun Gothic"/>
          <w:i/>
          <w:iCs/>
          <w:lang w:val="en-US" w:eastAsia="zh-CN"/>
        </w:rPr>
        <w:t>highSpeedMeasFlag-r16</w:t>
      </w:r>
      <w:r>
        <w:rPr>
          <w:rFonts w:hint="eastAsia" w:eastAsia="宋体"/>
          <w:color w:val="auto"/>
          <w:sz w:val="20"/>
          <w:szCs w:val="20"/>
          <w:lang w:val="en-US" w:eastAsia="zh-CN"/>
        </w:rPr>
        <w:t xml:space="preserve">).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To support both Set 1 and Set 2 requirements, an additional UE capability and an additional NW signalling are needed. </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Whether reusing the R16 HST UE capability and NW signalling or not, which needs to discuss. For the sake of different requirement set distinguish, reusing the R16 HST UE capability and NW signalling is fine. Since the corresponding UE capability and NW signalling only indicate the support/configuration of the requirements in Table 4.2.2.3-2 in [2], not any assumption on scenario.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5: Regarding to whether reusing the R16 HST UE capability </w:t>
      </w:r>
      <w:r>
        <w:rPr>
          <w:rFonts w:hint="eastAsia" w:eastAsia="宋体"/>
          <w:b/>
          <w:bCs/>
          <w:i/>
          <w:iCs/>
          <w:color w:val="auto"/>
          <w:sz w:val="20"/>
          <w:szCs w:val="20"/>
          <w:lang w:val="en-US" w:eastAsia="zh-CN"/>
        </w:rPr>
        <w:t xml:space="preserve">intraNR-MeasurementEnhancement-r16 </w:t>
      </w:r>
      <w:r>
        <w:rPr>
          <w:rFonts w:hint="eastAsia" w:eastAsia="宋体" w:cs="Times New Roman"/>
          <w:b/>
          <w:bCs/>
          <w:color w:val="auto"/>
          <w:sz w:val="20"/>
          <w:szCs w:val="20"/>
          <w:highlight w:val="none"/>
          <w:lang w:val="en-US" w:eastAsia="zh-CN" w:bidi="ar-SA"/>
        </w:rPr>
        <w:t xml:space="preserve">and NW signalling </w:t>
      </w:r>
      <w:r>
        <w:rPr>
          <w:rFonts w:eastAsia="Malgun Gothic"/>
          <w:b/>
          <w:bCs/>
          <w:i/>
          <w:iCs/>
          <w:lang w:val="en-US" w:eastAsia="zh-CN"/>
        </w:rPr>
        <w:t>highSpeedMeasFlag-r16</w:t>
      </w:r>
      <w:r>
        <w:rPr>
          <w:rFonts w:hint="eastAsia" w:eastAsia="宋体" w:cs="Times New Roman"/>
          <w:b/>
          <w:bCs/>
          <w:color w:val="auto"/>
          <w:sz w:val="20"/>
          <w:szCs w:val="20"/>
          <w:highlight w:val="none"/>
          <w:lang w:val="en-US" w:eastAsia="zh-CN" w:bidi="ar-SA"/>
        </w:rPr>
        <w:t xml:space="preserve">, if not any scenario assumption behind them, only indicating the support/configuration of the exact requirements defined in TS 38.133 Table 4.2.2.3-2, reusing </w:t>
      </w:r>
      <w:r>
        <w:rPr>
          <w:rFonts w:hint="eastAsia" w:eastAsia="宋体"/>
          <w:b/>
          <w:bCs/>
          <w:i/>
          <w:iCs/>
          <w:color w:val="auto"/>
          <w:sz w:val="20"/>
          <w:szCs w:val="20"/>
          <w:lang w:val="en-US" w:eastAsia="zh-CN"/>
        </w:rPr>
        <w:t xml:space="preserve">intraNR-MeasurementEnhancement-r16 </w:t>
      </w:r>
      <w:r>
        <w:rPr>
          <w:rFonts w:hint="eastAsia" w:eastAsia="宋体" w:cs="Times New Roman"/>
          <w:b/>
          <w:bCs/>
          <w:color w:val="auto"/>
          <w:sz w:val="20"/>
          <w:szCs w:val="20"/>
          <w:highlight w:val="none"/>
          <w:lang w:val="en-US" w:eastAsia="zh-CN" w:bidi="ar-SA"/>
        </w:rPr>
        <w:t xml:space="preserve">and </w:t>
      </w:r>
      <w:r>
        <w:rPr>
          <w:rFonts w:eastAsia="Malgun Gothic"/>
          <w:b/>
          <w:bCs/>
          <w:i/>
          <w:iCs/>
          <w:lang w:val="en-US" w:eastAsia="zh-CN"/>
        </w:rPr>
        <w:t>highSpeedMeasFlag-r16</w:t>
      </w:r>
      <w:r>
        <w:rPr>
          <w:rFonts w:hint="eastAsia" w:eastAsia="Malgun Gothic"/>
          <w:b/>
          <w:bCs/>
          <w:i/>
          <w:iCs/>
          <w:lang w:val="en-US" w:eastAsia="zh-CN"/>
        </w:rPr>
        <w:t xml:space="preserve"> </w:t>
      </w:r>
      <w:r>
        <w:rPr>
          <w:rFonts w:hint="eastAsia" w:eastAsia="宋体" w:cs="Times New Roman"/>
          <w:b/>
          <w:bCs/>
          <w:color w:val="auto"/>
          <w:sz w:val="20"/>
          <w:szCs w:val="20"/>
          <w:highlight w:val="none"/>
          <w:lang w:val="en-US" w:eastAsia="zh-CN" w:bidi="ar-SA"/>
        </w:rPr>
        <w:t>are fine.</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the switching between Set 1 and Set 2, no need to consider the switching between the two sets, for ATG CPE, the typical case is flight along with the predetermined trajectory. So we can not the necessary to switch between the two sets, just configuring one of the sets via RRC configuration is fine.</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6: No need to consider the switch between the two sets, just configuring one of the sets via RRC configuration is fine.</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2.2 Mobility requirement for CONNECTED</w:t>
      </w:r>
    </w:p>
    <w:p>
      <w:pPr>
        <w:pStyle w:val="4"/>
        <w:numPr>
          <w:ilvl w:val="0"/>
          <w:numId w:val="0"/>
        </w:numPr>
        <w:ind w:leftChars="0"/>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Conditional Handover</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last meeting, it has been approved that the conditional handover can be introduced for ATG. Regarding to the exact CHO mechanism, two candidates are included: legacy R16 CHO mechanism and location-based R17 NTN CHO. The former has been approved in last meeting, while still FFS on the latter.</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hanging="357" w:firstLineChars="0"/>
              <w:textAlignment w:val="auto"/>
              <w:rPr>
                <w:rFonts w:eastAsia="宋体" w:cs="Times New Roman"/>
                <w:sz w:val="20"/>
                <w:szCs w:val="20"/>
              </w:rPr>
            </w:pPr>
            <w:r>
              <w:rPr>
                <w:rFonts w:hint="eastAsia" w:eastAsia="宋体" w:cs="Times New Roman"/>
                <w:sz w:val="20"/>
                <w:szCs w:val="20"/>
              </w:rPr>
              <w:t xml:space="preserve">FFS on </w:t>
            </w:r>
            <w:r>
              <w:rPr>
                <w:rFonts w:eastAsia="宋体" w:cs="Times New Roman"/>
                <w:sz w:val="20"/>
                <w:szCs w:val="20"/>
              </w:rPr>
              <w:t>location-based CHO for ATG</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360" w:lineRule="auto"/>
              <w:ind w:firstLineChars="0"/>
              <w:textAlignment w:val="auto"/>
              <w:rPr>
                <w:rFonts w:eastAsia="宋体" w:cs="Times New Roman"/>
                <w:sz w:val="20"/>
                <w:szCs w:val="20"/>
              </w:rPr>
            </w:pPr>
            <w:r>
              <w:rPr>
                <w:rFonts w:eastAsia="宋体" w:cs="Times New Roman"/>
                <w:sz w:val="20"/>
                <w:szCs w:val="20"/>
              </w:rPr>
              <w:t xml:space="preserve">The </w:t>
            </w:r>
            <w:r>
              <w:rPr>
                <w:rFonts w:hint="eastAsia" w:eastAsia="宋体" w:cs="Times New Roman"/>
                <w:sz w:val="20"/>
                <w:szCs w:val="20"/>
              </w:rPr>
              <w:t>procedure</w:t>
            </w:r>
            <w:r>
              <w:rPr>
                <w:rFonts w:eastAsia="宋体" w:cs="Times New Roman"/>
                <w:sz w:val="20"/>
                <w:szCs w:val="20"/>
              </w:rPr>
              <w:t xml:space="preserve"> and signalling from R17 NTN (RSRP+ location- based CHO) could be reused, while the location-based CHO delay requirements should be revisited in ATG scenario.</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360" w:lineRule="auto"/>
              <w:ind w:firstLineChars="0"/>
              <w:textAlignment w:val="auto"/>
              <w:rPr>
                <w:rFonts w:hint="default" w:eastAsia="宋体"/>
                <w:color w:val="auto"/>
                <w:sz w:val="20"/>
                <w:szCs w:val="20"/>
                <w:vertAlign w:val="baseline"/>
                <w:lang w:val="en-US" w:eastAsia="zh-CN"/>
              </w:rPr>
            </w:pPr>
            <w:r>
              <w:rPr>
                <w:rFonts w:eastAsia="宋体" w:cs="Times New Roman"/>
                <w:sz w:val="20"/>
                <w:szCs w:val="20"/>
              </w:rPr>
              <w:t>Clarification</w:t>
            </w:r>
            <w:r>
              <w:rPr>
                <w:rFonts w:hint="eastAsia" w:eastAsia="宋体" w:cs="Times New Roman"/>
                <w:sz w:val="20"/>
                <w:szCs w:val="20"/>
              </w:rPr>
              <w:t xml:space="preserve"> on reference location is needed</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360" w:lineRule="auto"/>
              <w:ind w:firstLineChars="0"/>
              <w:textAlignment w:val="auto"/>
              <w:rPr>
                <w:rFonts w:hint="default" w:eastAsia="宋体"/>
                <w:color w:val="auto"/>
                <w:sz w:val="20"/>
                <w:szCs w:val="20"/>
                <w:vertAlign w:val="baseline"/>
                <w:lang w:val="en-US" w:eastAsia="zh-CN"/>
              </w:rPr>
            </w:pPr>
            <w:r>
              <w:rPr>
                <w:rFonts w:hint="eastAsia" w:eastAsia="宋体" w:cs="Times New Roman"/>
                <w:sz w:val="20"/>
                <w:szCs w:val="20"/>
              </w:rPr>
              <w:t>Optional feature for ATG</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R17 NTN, location-based CHO was introduced. Accordingly, conditional event D1 was introduced. The following description are related: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line="360" w:lineRule="auto"/>
              <w:rPr>
                <w:rFonts w:hint="default" w:eastAsia="宋体"/>
                <w:color w:val="auto"/>
                <w:sz w:val="20"/>
                <w:szCs w:val="20"/>
                <w:vertAlign w:val="baseline"/>
                <w:lang w:val="en-US" w:eastAsia="zh-CN"/>
              </w:rPr>
            </w:pPr>
            <w:r>
              <w:rPr>
                <w:rFonts w:hint="default"/>
                <w:color w:val="auto"/>
                <w:vertAlign w:val="baseline"/>
                <w:lang w:val="en-US" w:eastAsia="zh-CN"/>
              </w:rPr>
              <w:t>CondEvent D1: Distance between UE and a reference location referenceLocation1 becomes larger than configured threshold distanceThreshFromReference1 and distance between UE and a reference location referenceLocation2 of conditional reconfiguration candidate becomes shorter than configured threshold distanceThreshFromReference2;</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By comparing the distance between the UE to the current cell and the UE to the target cell with the respective threshold, the UE can identity whether the condition of CHO is met. So to our understanding, the reference location referred to is the current cell or the target cell location, i.e. same as which in NTN. Regarding to the whole procedure, reusing the procedure in R17 NTN is fine.</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For the location-based CHO, reusing the procedure in R17 NTN is fine. Furthermore, the reference location means the location of current cell or target cell.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spacing w:before="156" w:beforeLines="50"/>
        <w:rPr>
          <w:rFonts w:hint="eastAsia" w:eastAsia="宋体"/>
          <w:color w:val="auto"/>
          <w:sz w:val="20"/>
          <w:szCs w:val="20"/>
          <w:lang w:val="en-GB" w:eastAsia="zh-CN"/>
        </w:rPr>
      </w:pPr>
      <w:r>
        <w:rPr>
          <w:rFonts w:hint="eastAsia" w:eastAsia="宋体"/>
          <w:color w:val="auto"/>
          <w:sz w:val="20"/>
          <w:szCs w:val="20"/>
          <w:lang w:val="en-GB" w:eastAsia="zh-CN"/>
        </w:rPr>
        <w:t xml:space="preserve">In this </w:t>
      </w:r>
      <w:r>
        <w:rPr>
          <w:rFonts w:hint="eastAsia" w:eastAsia="宋体"/>
          <w:color w:val="auto"/>
          <w:sz w:val="20"/>
          <w:szCs w:val="20"/>
          <w:lang w:val="en-US" w:eastAsia="zh-CN"/>
        </w:rPr>
        <w:t>contribution</w:t>
      </w:r>
      <w:r>
        <w:rPr>
          <w:rFonts w:hint="eastAsia" w:eastAsia="宋体"/>
          <w:color w:val="auto"/>
          <w:sz w:val="20"/>
          <w:szCs w:val="20"/>
          <w:lang w:val="en-GB" w:eastAsia="zh-CN"/>
        </w:rPr>
        <w:t>, we have the following proposals</w:t>
      </w:r>
      <w:r>
        <w:rPr>
          <w:rFonts w:hint="eastAsia" w:eastAsia="宋体"/>
          <w:color w:val="auto"/>
          <w:sz w:val="20"/>
          <w:szCs w:val="20"/>
          <w:lang w:val="en-US" w:eastAsia="zh-CN"/>
        </w:rPr>
        <w:t xml:space="preserve"> </w:t>
      </w:r>
      <w:r>
        <w:rPr>
          <w:rFonts w:hint="eastAsia" w:eastAsia="宋体"/>
          <w:color w:val="auto"/>
          <w:sz w:val="20"/>
          <w:szCs w:val="20"/>
          <w:lang w:val="en-GB" w:eastAsia="zh-CN"/>
        </w:rPr>
        <w:t xml:space="preserve">for </w:t>
      </w:r>
      <w:r>
        <w:rPr>
          <w:rFonts w:hint="eastAsia" w:eastAsia="宋体"/>
          <w:color w:val="auto"/>
          <w:sz w:val="20"/>
          <w:szCs w:val="20"/>
          <w:lang w:val="en-US" w:eastAsia="zh-CN"/>
        </w:rPr>
        <w:t>the consideration of RRM aspects for ATG system</w:t>
      </w:r>
      <w:r>
        <w:rPr>
          <w:rFonts w:hint="eastAsia" w:eastAsia="宋体"/>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ATG CPE should be more powerful than normal hand-held UE and not constraint by the size. So the power consumption is not the factor which should be mainly considered.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trade-off between the workload and performance gain brought by the new cell re-selection rule should be considered.</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Open to further discuss the distance based cell re-selection. The legacy cell re-selection rule should be as baseline or mandatory supported. Regarding to whether additional enhanced cell re-selection can be considered, either not support or optional support.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To support both Set 1 and Set 2 requirements, an additional UE capability and an additional NW signalling are needed.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5: Regarding to whether reusing the R16 HST UE capability </w:t>
      </w:r>
      <w:r>
        <w:rPr>
          <w:rFonts w:hint="eastAsia" w:eastAsia="宋体"/>
          <w:b/>
          <w:bCs/>
          <w:i/>
          <w:iCs/>
          <w:color w:val="auto"/>
          <w:sz w:val="20"/>
          <w:szCs w:val="20"/>
          <w:lang w:val="en-US" w:eastAsia="zh-CN"/>
        </w:rPr>
        <w:t xml:space="preserve">intraNR-MeasurementEnhancement-r16 </w:t>
      </w:r>
      <w:r>
        <w:rPr>
          <w:rFonts w:hint="eastAsia" w:eastAsia="宋体" w:cs="Times New Roman"/>
          <w:b/>
          <w:bCs/>
          <w:color w:val="auto"/>
          <w:sz w:val="20"/>
          <w:szCs w:val="20"/>
          <w:highlight w:val="none"/>
          <w:lang w:val="en-US" w:eastAsia="zh-CN" w:bidi="ar-SA"/>
        </w:rPr>
        <w:t xml:space="preserve">and NW signalling </w:t>
      </w:r>
      <w:r>
        <w:rPr>
          <w:rFonts w:eastAsia="Malgun Gothic"/>
          <w:b/>
          <w:bCs/>
          <w:i/>
          <w:iCs/>
          <w:lang w:val="en-US" w:eastAsia="zh-CN"/>
        </w:rPr>
        <w:t>highSpeedMeasFlag-r16</w:t>
      </w:r>
      <w:r>
        <w:rPr>
          <w:rFonts w:hint="eastAsia" w:eastAsia="宋体" w:cs="Times New Roman"/>
          <w:b/>
          <w:bCs/>
          <w:color w:val="auto"/>
          <w:sz w:val="20"/>
          <w:szCs w:val="20"/>
          <w:highlight w:val="none"/>
          <w:lang w:val="en-US" w:eastAsia="zh-CN" w:bidi="ar-SA"/>
        </w:rPr>
        <w:t xml:space="preserve">, if not any scenario assumption behind them, only indicating the support/configuration of the exact requirements defined in TS 38.133 Table 4.2.2.3-2, reusing </w:t>
      </w:r>
      <w:r>
        <w:rPr>
          <w:rFonts w:hint="eastAsia" w:eastAsia="宋体"/>
          <w:b/>
          <w:bCs/>
          <w:i/>
          <w:iCs/>
          <w:color w:val="auto"/>
          <w:sz w:val="20"/>
          <w:szCs w:val="20"/>
          <w:lang w:val="en-US" w:eastAsia="zh-CN"/>
        </w:rPr>
        <w:t xml:space="preserve">intraNR-MeasurementEnhancement-r16 </w:t>
      </w:r>
      <w:r>
        <w:rPr>
          <w:rFonts w:hint="eastAsia" w:eastAsia="宋体" w:cs="Times New Roman"/>
          <w:b/>
          <w:bCs/>
          <w:color w:val="auto"/>
          <w:sz w:val="20"/>
          <w:szCs w:val="20"/>
          <w:highlight w:val="none"/>
          <w:lang w:val="en-US" w:eastAsia="zh-CN" w:bidi="ar-SA"/>
        </w:rPr>
        <w:t xml:space="preserve">and </w:t>
      </w:r>
      <w:r>
        <w:rPr>
          <w:rFonts w:eastAsia="Malgun Gothic"/>
          <w:b/>
          <w:bCs/>
          <w:i/>
          <w:iCs/>
          <w:lang w:val="en-US" w:eastAsia="zh-CN"/>
        </w:rPr>
        <w:t>highSpeedMeasFlag-r16</w:t>
      </w:r>
      <w:r>
        <w:rPr>
          <w:rFonts w:hint="eastAsia" w:eastAsia="Malgun Gothic"/>
          <w:b/>
          <w:bCs/>
          <w:i/>
          <w:iCs/>
          <w:lang w:val="en-US" w:eastAsia="zh-CN"/>
        </w:rPr>
        <w:t xml:space="preserve"> </w:t>
      </w:r>
      <w:r>
        <w:rPr>
          <w:rFonts w:hint="eastAsia" w:eastAsia="宋体" w:cs="Times New Roman"/>
          <w:b/>
          <w:bCs/>
          <w:color w:val="auto"/>
          <w:sz w:val="20"/>
          <w:szCs w:val="20"/>
          <w:highlight w:val="none"/>
          <w:lang w:val="en-US" w:eastAsia="zh-CN" w:bidi="ar-SA"/>
        </w:rPr>
        <w:t>are fine.</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6: No need to consider the switch between the two sets, just configuring one of the sets via RRC configuration is fine.</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For the location-based CHO, reusing the procedure in R17 NTN is fine. Furthermore, the reference location means the location of current cell or target cell.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bookmarkStart w:id="1" w:name="_GoBack"/>
      <w:bookmarkEnd w:id="1"/>
      <w:r>
        <w:rPr>
          <w:rFonts w:hint="eastAsia" w:eastAsia="宋体"/>
          <w:color w:val="auto"/>
          <w:lang w:val="en-US" w:eastAsia="zh-CN"/>
        </w:rPr>
        <w:t>Reference</w:t>
      </w:r>
    </w:p>
    <w:p>
      <w:pPr>
        <w:pStyle w:val="9"/>
        <w:numPr>
          <w:ilvl w:val="0"/>
          <w:numId w:val="6"/>
        </w:numPr>
        <w:ind w:left="0" w:leftChars="0" w:firstLine="0" w:firstLineChars="0"/>
        <w:rPr>
          <w:rFonts w:hint="eastAsia"/>
          <w:color w:val="auto"/>
          <w:lang w:val="en-US" w:eastAsia="zh-CN"/>
        </w:rPr>
      </w:pPr>
      <w:r>
        <w:rPr>
          <w:rFonts w:hint="eastAsia"/>
          <w:color w:val="auto"/>
          <w:lang w:val="en-US" w:eastAsia="zh-CN"/>
        </w:rPr>
        <w:t xml:space="preserve">R4-2303226 </w:t>
      </w:r>
      <w:r>
        <w:rPr>
          <w:rFonts w:hint="default"/>
          <w:color w:val="auto"/>
          <w:lang w:val="en-US" w:eastAsia="zh-CN"/>
        </w:rPr>
        <w:t>“</w:t>
      </w:r>
      <w:bookmarkStart w:id="0" w:name="_Hlk41145953"/>
      <w:r>
        <w:rPr>
          <w:rFonts w:hint="default"/>
          <w:color w:val="auto"/>
          <w:lang w:val="en-US" w:eastAsia="zh-CN"/>
        </w:rPr>
        <w:t>WF on NR ATG RRM</w:t>
      </w:r>
      <w:bookmarkEnd w:id="0"/>
      <w:r>
        <w:rPr>
          <w:rFonts w:hint="default"/>
          <w:color w:val="auto"/>
          <w:lang w:val="en-US" w:eastAsia="zh-CN"/>
        </w:rPr>
        <w:t xml:space="preserve"> requirements”</w:t>
      </w:r>
      <w:r>
        <w:rPr>
          <w:rFonts w:hint="eastAsia"/>
          <w:color w:val="auto"/>
          <w:lang w:val="en-US" w:eastAsia="zh-CN"/>
        </w:rPr>
        <w:t>, CMCC</w:t>
      </w:r>
    </w:p>
    <w:p>
      <w:pPr>
        <w:pStyle w:val="9"/>
        <w:numPr>
          <w:ilvl w:val="0"/>
          <w:numId w:val="6"/>
        </w:numPr>
        <w:ind w:left="0" w:leftChars="0" w:firstLine="0" w:firstLineChars="0"/>
        <w:rPr>
          <w:rFonts w:hint="default"/>
          <w:color w:val="auto"/>
          <w:lang w:val="en-US" w:eastAsia="zh-CN"/>
        </w:rPr>
      </w:pPr>
      <w:r>
        <w:rPr>
          <w:rFonts w:hint="eastAsia"/>
          <w:color w:val="auto"/>
          <w:lang w:val="en-US" w:eastAsia="zh-CN"/>
        </w:rPr>
        <w:t>TS 38.133-h80.</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4BF8"/>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905"/>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29A"/>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F620FE"/>
    <w:rsid w:val="05317828"/>
    <w:rsid w:val="05477E90"/>
    <w:rsid w:val="05BB5AB9"/>
    <w:rsid w:val="05C42923"/>
    <w:rsid w:val="06226EA6"/>
    <w:rsid w:val="06250619"/>
    <w:rsid w:val="06963BA6"/>
    <w:rsid w:val="07CD3CDD"/>
    <w:rsid w:val="083E6EA0"/>
    <w:rsid w:val="0855671D"/>
    <w:rsid w:val="089009EB"/>
    <w:rsid w:val="08EA2407"/>
    <w:rsid w:val="09716BCA"/>
    <w:rsid w:val="09A356DC"/>
    <w:rsid w:val="09D64B23"/>
    <w:rsid w:val="09DC697F"/>
    <w:rsid w:val="09E644B8"/>
    <w:rsid w:val="0A867423"/>
    <w:rsid w:val="0AB155C2"/>
    <w:rsid w:val="0B12013A"/>
    <w:rsid w:val="0B3D3C2F"/>
    <w:rsid w:val="0BB0429A"/>
    <w:rsid w:val="0BDD6CEC"/>
    <w:rsid w:val="0BFF5FC6"/>
    <w:rsid w:val="0C394019"/>
    <w:rsid w:val="0CD05342"/>
    <w:rsid w:val="0CDB4E5B"/>
    <w:rsid w:val="0DEE745F"/>
    <w:rsid w:val="0E911950"/>
    <w:rsid w:val="0FAD3D1E"/>
    <w:rsid w:val="102263EF"/>
    <w:rsid w:val="10997F43"/>
    <w:rsid w:val="109B4704"/>
    <w:rsid w:val="10DE7BAE"/>
    <w:rsid w:val="120774A3"/>
    <w:rsid w:val="12887761"/>
    <w:rsid w:val="14006D19"/>
    <w:rsid w:val="1481754F"/>
    <w:rsid w:val="148F32AB"/>
    <w:rsid w:val="148F5721"/>
    <w:rsid w:val="14AC57CD"/>
    <w:rsid w:val="15ED3E9B"/>
    <w:rsid w:val="16310FDF"/>
    <w:rsid w:val="164514BE"/>
    <w:rsid w:val="166B2EA9"/>
    <w:rsid w:val="16E73296"/>
    <w:rsid w:val="170F06AA"/>
    <w:rsid w:val="17225508"/>
    <w:rsid w:val="17B07FBC"/>
    <w:rsid w:val="18066730"/>
    <w:rsid w:val="180A6E32"/>
    <w:rsid w:val="183F2CD2"/>
    <w:rsid w:val="1856323E"/>
    <w:rsid w:val="18AF55E3"/>
    <w:rsid w:val="18B077E2"/>
    <w:rsid w:val="18B1519A"/>
    <w:rsid w:val="18CD0507"/>
    <w:rsid w:val="18F36BA5"/>
    <w:rsid w:val="195D7D48"/>
    <w:rsid w:val="1AD01A1B"/>
    <w:rsid w:val="1B61065A"/>
    <w:rsid w:val="1BBF3927"/>
    <w:rsid w:val="1C177B08"/>
    <w:rsid w:val="1C9001C6"/>
    <w:rsid w:val="1CBA2101"/>
    <w:rsid w:val="1D0573D7"/>
    <w:rsid w:val="1D153DC4"/>
    <w:rsid w:val="1D223E0B"/>
    <w:rsid w:val="1D317C9F"/>
    <w:rsid w:val="1E132F88"/>
    <w:rsid w:val="1E2867E9"/>
    <w:rsid w:val="1E853F6F"/>
    <w:rsid w:val="1E9C7BCC"/>
    <w:rsid w:val="1ECC1E3C"/>
    <w:rsid w:val="208364FC"/>
    <w:rsid w:val="208953F9"/>
    <w:rsid w:val="21014C39"/>
    <w:rsid w:val="21244EB1"/>
    <w:rsid w:val="213964D8"/>
    <w:rsid w:val="21595D04"/>
    <w:rsid w:val="21F13629"/>
    <w:rsid w:val="223236B6"/>
    <w:rsid w:val="2255462C"/>
    <w:rsid w:val="2305377E"/>
    <w:rsid w:val="23680784"/>
    <w:rsid w:val="23901822"/>
    <w:rsid w:val="23CE4288"/>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CE6564D"/>
    <w:rsid w:val="2E014790"/>
    <w:rsid w:val="2EE77680"/>
    <w:rsid w:val="2F2F0FC8"/>
    <w:rsid w:val="2F87127D"/>
    <w:rsid w:val="2FA70460"/>
    <w:rsid w:val="301C6BB6"/>
    <w:rsid w:val="30515663"/>
    <w:rsid w:val="319708F2"/>
    <w:rsid w:val="31A8260E"/>
    <w:rsid w:val="31B14C9E"/>
    <w:rsid w:val="332B149D"/>
    <w:rsid w:val="33C522D7"/>
    <w:rsid w:val="344C156B"/>
    <w:rsid w:val="34525D28"/>
    <w:rsid w:val="34807672"/>
    <w:rsid w:val="35510C5F"/>
    <w:rsid w:val="35B06C6A"/>
    <w:rsid w:val="366149EB"/>
    <w:rsid w:val="36941AA2"/>
    <w:rsid w:val="36D37423"/>
    <w:rsid w:val="379D23F9"/>
    <w:rsid w:val="38007640"/>
    <w:rsid w:val="3A10297D"/>
    <w:rsid w:val="3A185287"/>
    <w:rsid w:val="3A1F46B8"/>
    <w:rsid w:val="3A692CD0"/>
    <w:rsid w:val="3AAE4AA7"/>
    <w:rsid w:val="3AF23299"/>
    <w:rsid w:val="3B270929"/>
    <w:rsid w:val="3B3D5571"/>
    <w:rsid w:val="3B673620"/>
    <w:rsid w:val="3B9A1F29"/>
    <w:rsid w:val="3CE4646B"/>
    <w:rsid w:val="3CFC1228"/>
    <w:rsid w:val="3D5E7AA8"/>
    <w:rsid w:val="3D6F2596"/>
    <w:rsid w:val="3D946587"/>
    <w:rsid w:val="405F175E"/>
    <w:rsid w:val="40C765F3"/>
    <w:rsid w:val="421E6631"/>
    <w:rsid w:val="42F869D2"/>
    <w:rsid w:val="43553536"/>
    <w:rsid w:val="44665ED2"/>
    <w:rsid w:val="44972678"/>
    <w:rsid w:val="451632B9"/>
    <w:rsid w:val="45906394"/>
    <w:rsid w:val="45F60A50"/>
    <w:rsid w:val="46142D0C"/>
    <w:rsid w:val="46263A53"/>
    <w:rsid w:val="46970A81"/>
    <w:rsid w:val="46B036BF"/>
    <w:rsid w:val="46CC320F"/>
    <w:rsid w:val="47282363"/>
    <w:rsid w:val="47810C98"/>
    <w:rsid w:val="47924F0A"/>
    <w:rsid w:val="47EE5B4D"/>
    <w:rsid w:val="48F407FD"/>
    <w:rsid w:val="491F76E6"/>
    <w:rsid w:val="49DC4EAC"/>
    <w:rsid w:val="49E55BC5"/>
    <w:rsid w:val="4A5D0BB5"/>
    <w:rsid w:val="4B600E77"/>
    <w:rsid w:val="4B8F684D"/>
    <w:rsid w:val="4BF02011"/>
    <w:rsid w:val="4C1C63D6"/>
    <w:rsid w:val="4C2D52ED"/>
    <w:rsid w:val="4C6C4AB8"/>
    <w:rsid w:val="4C864A35"/>
    <w:rsid w:val="4D207A05"/>
    <w:rsid w:val="4D3A74CA"/>
    <w:rsid w:val="4D53283E"/>
    <w:rsid w:val="4E015C76"/>
    <w:rsid w:val="4E310026"/>
    <w:rsid w:val="4E4A2325"/>
    <w:rsid w:val="4FC7362A"/>
    <w:rsid w:val="501A6C55"/>
    <w:rsid w:val="505622E5"/>
    <w:rsid w:val="515B1740"/>
    <w:rsid w:val="51B14BED"/>
    <w:rsid w:val="52526454"/>
    <w:rsid w:val="525C1CEF"/>
    <w:rsid w:val="528B5767"/>
    <w:rsid w:val="52D33625"/>
    <w:rsid w:val="53A3105E"/>
    <w:rsid w:val="53C64B93"/>
    <w:rsid w:val="548A6C60"/>
    <w:rsid w:val="54B73762"/>
    <w:rsid w:val="55B1164D"/>
    <w:rsid w:val="55B4735E"/>
    <w:rsid w:val="55BB221D"/>
    <w:rsid w:val="56371459"/>
    <w:rsid w:val="56484633"/>
    <w:rsid w:val="57FF4799"/>
    <w:rsid w:val="58D0053D"/>
    <w:rsid w:val="595A2A3C"/>
    <w:rsid w:val="598C40A0"/>
    <w:rsid w:val="59DA647E"/>
    <w:rsid w:val="5A556E1A"/>
    <w:rsid w:val="5A646258"/>
    <w:rsid w:val="5BF92FF2"/>
    <w:rsid w:val="5C924E81"/>
    <w:rsid w:val="5D0466F6"/>
    <w:rsid w:val="5E2864D0"/>
    <w:rsid w:val="5E494511"/>
    <w:rsid w:val="5EB44FC0"/>
    <w:rsid w:val="5F6120F2"/>
    <w:rsid w:val="5FBA395F"/>
    <w:rsid w:val="60094E5C"/>
    <w:rsid w:val="606F38F4"/>
    <w:rsid w:val="60EC2CBA"/>
    <w:rsid w:val="60F20F7F"/>
    <w:rsid w:val="61CC2D28"/>
    <w:rsid w:val="634005D3"/>
    <w:rsid w:val="635902CD"/>
    <w:rsid w:val="64706BBE"/>
    <w:rsid w:val="64F2095B"/>
    <w:rsid w:val="65A16A49"/>
    <w:rsid w:val="66105DCB"/>
    <w:rsid w:val="66F31E7F"/>
    <w:rsid w:val="67A858DB"/>
    <w:rsid w:val="67F953C2"/>
    <w:rsid w:val="67FE4166"/>
    <w:rsid w:val="68C401C3"/>
    <w:rsid w:val="69A833BD"/>
    <w:rsid w:val="69C760FB"/>
    <w:rsid w:val="69EF6835"/>
    <w:rsid w:val="6CB41273"/>
    <w:rsid w:val="6D566F0F"/>
    <w:rsid w:val="6D836F72"/>
    <w:rsid w:val="6DDE3DAF"/>
    <w:rsid w:val="6E3241BE"/>
    <w:rsid w:val="6EB97A9D"/>
    <w:rsid w:val="6EF10A90"/>
    <w:rsid w:val="6EFC7DED"/>
    <w:rsid w:val="6F2A7FBF"/>
    <w:rsid w:val="6F9B4594"/>
    <w:rsid w:val="6FFF1868"/>
    <w:rsid w:val="715F4C2D"/>
    <w:rsid w:val="722F78FB"/>
    <w:rsid w:val="723C2F8E"/>
    <w:rsid w:val="723D67C5"/>
    <w:rsid w:val="726A5F44"/>
    <w:rsid w:val="72BF60CA"/>
    <w:rsid w:val="72F41282"/>
    <w:rsid w:val="73146C33"/>
    <w:rsid w:val="733D0D32"/>
    <w:rsid w:val="73B76769"/>
    <w:rsid w:val="73D411F1"/>
    <w:rsid w:val="74A356B2"/>
    <w:rsid w:val="753811DE"/>
    <w:rsid w:val="75BE67D4"/>
    <w:rsid w:val="75C2004C"/>
    <w:rsid w:val="75C759C1"/>
    <w:rsid w:val="76281B03"/>
    <w:rsid w:val="762D64F3"/>
    <w:rsid w:val="762E20AD"/>
    <w:rsid w:val="767E7EFF"/>
    <w:rsid w:val="775B4604"/>
    <w:rsid w:val="77C067C3"/>
    <w:rsid w:val="78074939"/>
    <w:rsid w:val="78911E31"/>
    <w:rsid w:val="78CC1C43"/>
    <w:rsid w:val="78F9732D"/>
    <w:rsid w:val="7922350F"/>
    <w:rsid w:val="792B5470"/>
    <w:rsid w:val="7A9367CB"/>
    <w:rsid w:val="7AF22571"/>
    <w:rsid w:val="7B0720CF"/>
    <w:rsid w:val="7B4C0E47"/>
    <w:rsid w:val="7B69224B"/>
    <w:rsid w:val="7BE80F25"/>
    <w:rsid w:val="7BEF265F"/>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2023-04-10T08:58:46Z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